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3EFDB" w14:textId="77777777"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bookmarkStart w:id="0" w:name="_GoBack"/>
      <w:bookmarkEnd w:id="0"/>
      <w:r w:rsidRPr="000339C9">
        <w:rPr>
          <w:rFonts w:hAnsi="Calibri" w:cs="Calibri"/>
          <w:color w:val="000000"/>
          <w:sz w:val="24"/>
        </w:rPr>
        <w:t>Akceptuję</w:t>
      </w:r>
    </w:p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>Program „Opieka wytchnieniowa”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052E1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50B55E14" w14:textId="7CA8701A" w:rsidR="008859E3" w:rsidRPr="000339C9" w:rsidRDefault="0062179E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58E6FEF4" w14:textId="77777777" w:rsidR="00FD1E67" w:rsidRPr="000339C9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1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1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Program „Opieka wytchnieniowa”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>„Opieka wytchnieniowa”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>rogramu wskazują na konieczność kontynuacji działań zmierzających do zwiększenia dostępności tego rodzaju wsparcia dla osób niepełnosprawnych oraz ich opiekunów i rozwijania systemu opieki wytchnieniowej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Zapewnienie wsparcia w zakresie usług opieki wytchnieniowej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Opieka wytchnieniowa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2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3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3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wytchnienio</w:t>
      </w:r>
      <w:r w:rsidR="00A971C0" w:rsidRPr="000339C9">
        <w:rPr>
          <w:rFonts w:hAnsi="Calibri" w:cs="Calibri"/>
          <w:sz w:val="24"/>
          <w:szCs w:val="24"/>
        </w:rPr>
        <w:t xml:space="preserve">wa”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wytchnieniowa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>zwiększył się zakres i zasięg realizacji usług opieki wytchnieniowej.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>Należy podkreślić, że wsparcie w formie usługi opieki wytchnieniowej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4" w:name="_Toc82001604"/>
      <w:bookmarkStart w:id="5" w:name="_Toc82001762"/>
      <w:bookmarkStart w:id="6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4"/>
      <w:bookmarkEnd w:id="5"/>
      <w:bookmarkEnd w:id="6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7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‒ poprzez możliwość uzyskania doraźnej, czasowej pomocy w formie usługi opieki wytchnieniowej.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wytchnieniowej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wytchnieniowej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>wsparcie finansowe gmin/powiatów w zakresie realizacji usług opieki wytchnieniowej</w:t>
      </w:r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8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wytchnieniowej,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wytchnieniowej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9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>otrzymuje wsparcie finansowe w zakresie świadczenia usług opieki wytchnieniowej,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wytchnieniowej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>Kartę będą mieć zapewniony dostęp do usługi opieki wytchnieniowej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wytchnieniowej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świadczenia usług opieki wytchnieniowej,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godzinach realizacji usług opieki wytchnieniowej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>, z późn.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>Usługi opieki wytchnieniowej</w:t>
      </w:r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wytchnieniowa”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przypadku świadczenia usług opieki wytchnieniowej,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lastRenderedPageBreak/>
        <w:t>Limit usług opieki wytchnieniowej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240 godzin dla usług opieki wytchnieniowej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14 dni dla usług opieki wytchnieniowej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>Usługi opieki wytchnieniowej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>przyznano pomoc w postaci usług opieki wytchnieniowej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Usługi opieki wytchnieniowej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wytchnieniowej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wytchnieniowej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lastRenderedPageBreak/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wytchnieniowej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>Opieka wytchnieniowa</w:t>
      </w:r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wytchnieniowa</w:t>
      </w:r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wytchnieniowej.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>oświadczenie o wcześniejszym korzystaniu z usług opieki wytchnieniowej.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1) osoby, która będzie świadczyć usługę opieki wytchnieniowej;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wytchnieniowej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>może wyrazić zgodę na zwiększenie liczby godzin usług opieki wytchnieniowej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>dokonuje rozliczenia usług opieki wytchnieniowej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wytchnieniowej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wytchnieniowa</w:t>
      </w:r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r w:rsidR="00416793" w:rsidRPr="000339C9">
        <w:rPr>
          <w:rFonts w:hAnsi="Calibri" w:cs="Calibri"/>
          <w:sz w:val="24"/>
          <w:szCs w:val="24"/>
        </w:rPr>
        <w:t>wytchnieniowej,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wytchnieniowej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14:paraId="38D0905F" w14:textId="54A4F361"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wytchnieniowej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>, z późn.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wytchnieniowej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>kupuje usługi opieki wytchnieniowej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10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wytchnieniowej.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wytchnieniowej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wytchnieniowej</w:t>
      </w:r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>usługa opieki wytchnieniowej</w:t>
      </w:r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wytchnieniowej,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>305, z późn.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lastRenderedPageBreak/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późn.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>, z późn.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1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77777777"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2" w:name="_Toc84493421"/>
      <w:r w:rsidRPr="000339C9">
        <w:rPr>
          <w:rFonts w:ascii="Calibri" w:hAnsi="Calibri" w:cs="Calibri"/>
          <w:sz w:val="28"/>
          <w:szCs w:val="28"/>
        </w:rPr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2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>gminy/powiatu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>w zależności od planowanej formy realizacji usług opieki wytchnieniowej)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>jest składany wyłącznie w postaci elektronicznej i należy przesłać go za  pośrednictwem platformy ePUAP.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>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>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wytchnieniowej.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3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3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>przepływu takich danych oraz uchylenia dyrektywy 95/46/WE (ogólne rozporządzenie o ochronie danych) (Urz. UE L 119 z 04.05.2016, str. 1, z późn.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0C84DEF1" w14:textId="77777777" w:rsidR="00FD7146" w:rsidRPr="00FD7146" w:rsidRDefault="00CC56D3" w:rsidP="00FD7146">
      <w:pPr>
        <w:pStyle w:val="Akapitzlist"/>
        <w:numPr>
          <w:ilvl w:val="0"/>
          <w:numId w:val="21"/>
        </w:numPr>
        <w:spacing w:after="1440" w:line="360" w:lineRule="auto"/>
        <w:ind w:left="357" w:hanging="357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  <w:bookmarkStart w:id="14" w:name="_Toc84493423"/>
    </w:p>
    <w:p w14:paraId="1F157994" w14:textId="60698470" w:rsidR="003B5D11" w:rsidRPr="000339C9" w:rsidRDefault="00FD7146" w:rsidP="00FD7146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lastRenderedPageBreak/>
        <w:t xml:space="preserve"> </w:t>
      </w:r>
      <w:r w:rsidR="004A0AAC" w:rsidRPr="000339C9">
        <w:rPr>
          <w:rFonts w:hAnsi="Calibri" w:cs="Calibri"/>
          <w:sz w:val="28"/>
          <w:szCs w:val="28"/>
        </w:rPr>
        <w:t xml:space="preserve">X. </w:t>
      </w:r>
      <w:r w:rsidR="003B5D11" w:rsidRPr="000339C9">
        <w:rPr>
          <w:rFonts w:hAnsi="Calibri" w:cs="Calibri"/>
          <w:sz w:val="28"/>
          <w:szCs w:val="28"/>
        </w:rPr>
        <w:t>Tryb przystąpienia do Programu</w:t>
      </w:r>
      <w:bookmarkEnd w:id="14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>Opieka wytchnieniowa"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szczególności przewidywaną liczbę uczestników Programu i koszt realizacji usługi opieki wytchnieniowej.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5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>„Opieka wytchnieniowa”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koszt jednej godziny zegarowej wynagrodzenia z tytułu świadczenia usług opieki wytchnieniowej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odzin usług opieki wytchnieniowej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kalkulacji kosztów realizacji usług opieki wytchnieniowej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6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6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wytchnieniowa”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rozliczenia usług opieki wytchnieniowej</w:t>
      </w:r>
      <w:r w:rsidR="00006048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oceny wniosku gminy/powiatu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7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>Opieka wytchnieniowa”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7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klauzuli informacyjnej w ramach Programu „Opieka wytchnieniowa”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>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8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8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7E38A1DF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14:paraId="6773F8D9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>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wytchnieniowej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>oceny wniosku gminy/powiatu 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>Opieka wytchnieniowa</w:t>
      </w:r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5517C18B" w14:textId="405772CC"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lastRenderedPageBreak/>
        <w:t xml:space="preserve">Wzór klauzuli informacyjnej w ramach Programu „Opieka </w:t>
      </w:r>
      <w:r w:rsidR="001263C9">
        <w:rPr>
          <w:rFonts w:hAnsi="Calibri" w:cs="Calibri"/>
          <w:color w:val="000000"/>
          <w:sz w:val="20"/>
        </w:rPr>
        <w:t>wytchnieniowa”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14:paraId="7C85172B" w14:textId="77777777"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14:paraId="2CD7B298" w14:textId="77777777"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>
      <w:footerReference w:type="default" r:id="rId8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317F3" w14:textId="77777777" w:rsidR="00052E1C" w:rsidRDefault="00052E1C">
      <w:pPr>
        <w:spacing w:after="0" w:line="240" w:lineRule="auto"/>
      </w:pPr>
      <w:r>
        <w:separator/>
      </w:r>
    </w:p>
  </w:endnote>
  <w:endnote w:type="continuationSeparator" w:id="0">
    <w:p w14:paraId="080EFCA5" w14:textId="77777777" w:rsidR="00052E1C" w:rsidRDefault="00052E1C">
      <w:pPr>
        <w:spacing w:after="0" w:line="240" w:lineRule="auto"/>
      </w:pPr>
      <w:r>
        <w:continuationSeparator/>
      </w:r>
    </w:p>
  </w:endnote>
  <w:endnote w:type="continuationNotice" w:id="1">
    <w:p w14:paraId="6BDEC49F" w14:textId="77777777" w:rsidR="00052E1C" w:rsidRDefault="00052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333E" w14:textId="425CACCB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514D3E">
      <w:rPr>
        <w:rFonts w:ascii="Times New Roman" w:hAnsi="Times New Roman"/>
        <w:noProof/>
        <w:color w:val="000000"/>
      </w:rPr>
      <w:t>2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A9B98" w14:textId="77777777" w:rsidR="00052E1C" w:rsidRDefault="00052E1C">
      <w:pPr>
        <w:spacing w:after="0" w:line="240" w:lineRule="auto"/>
      </w:pPr>
      <w:r>
        <w:separator/>
      </w:r>
    </w:p>
  </w:footnote>
  <w:footnote w:type="continuationSeparator" w:id="0">
    <w:p w14:paraId="13B50D39" w14:textId="77777777" w:rsidR="00052E1C" w:rsidRDefault="00052E1C">
      <w:pPr>
        <w:spacing w:after="0" w:line="240" w:lineRule="auto"/>
      </w:pPr>
      <w:r>
        <w:continuationSeparator/>
      </w:r>
    </w:p>
  </w:footnote>
  <w:footnote w:type="continuationNotice" w:id="1">
    <w:p w14:paraId="734ECEBF" w14:textId="77777777" w:rsidR="00052E1C" w:rsidRDefault="00052E1C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 w15:restartNumberingAfterBreak="0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 w15:restartNumberingAfterBreak="0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 w15:restartNumberingAfterBreak="0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 w15:restartNumberingAfterBreak="0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2E1C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48A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4D3E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146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  <w15:docId w15:val="{828FBFBF-DD8E-43BF-BFC3-8A02305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7E13-7420-4170-9B93-253A61DD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6431</Words>
  <Characters>38587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„Opieka wytchnieniowa” – edycja 2022</vt:lpstr>
    </vt:vector>
  </TitlesOfParts>
  <Company>MRPiPS</Company>
  <LinksUpToDate>false</LinksUpToDate>
  <CharactersWithSpaces>44929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subject/>
  <dc:creator>El?bieta Gimlewicz</dc:creator>
  <cp:keywords/>
  <dc:description/>
  <cp:lastModifiedBy>user</cp:lastModifiedBy>
  <cp:revision>2</cp:revision>
  <cp:lastPrinted>2021-09-03T13:06:00Z</cp:lastPrinted>
  <dcterms:created xsi:type="dcterms:W3CDTF">2022-03-08T11:11:00Z</dcterms:created>
  <dcterms:modified xsi:type="dcterms:W3CDTF">2022-03-08T11:11:00Z</dcterms:modified>
</cp:coreProperties>
</file>